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AB1C" w14:textId="61D669DD" w:rsidR="00AA71FC" w:rsidRDefault="00E478C6">
      <w:r w:rsidRPr="00E478C6">
        <w:t>1. Д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леч</w:t>
      </w:r>
      <w:r w:rsidRPr="00E478C6">
        <w:t xml:space="preserve">. </w:t>
      </w:r>
      <w:r w:rsidRPr="00E478C6">
        <w:rPr>
          <w:rFonts w:ascii="Calibri" w:hAnsi="Calibri" w:cs="Calibri"/>
        </w:rPr>
        <w:t>дерматитов</w:t>
      </w:r>
      <w:r w:rsidRPr="00E478C6">
        <w:t xml:space="preserve">, </w:t>
      </w:r>
      <w:r w:rsidRPr="00E478C6">
        <w:rPr>
          <w:rFonts w:ascii="Calibri" w:hAnsi="Calibri" w:cs="Calibri"/>
        </w:rPr>
        <w:t>экзем</w:t>
      </w:r>
      <w:r w:rsidRPr="00E478C6">
        <w:t xml:space="preserve">, </w:t>
      </w:r>
      <w:r w:rsidRPr="00E478C6">
        <w:rPr>
          <w:rFonts w:ascii="Calibri" w:hAnsi="Calibri" w:cs="Calibri"/>
        </w:rPr>
        <w:t>папулосквамозных</w:t>
      </w:r>
      <w:r w:rsidRPr="00E478C6">
        <w:t xml:space="preserve"> </w:t>
      </w:r>
      <w:r w:rsidRPr="00E478C6">
        <w:rPr>
          <w:rFonts w:ascii="Calibri" w:hAnsi="Calibri" w:cs="Calibri"/>
        </w:rPr>
        <w:t>нарушений</w:t>
      </w:r>
      <w:r w:rsidRPr="00E478C6">
        <w:t xml:space="preserve"> (</w:t>
      </w:r>
      <w:r w:rsidRPr="00E478C6">
        <w:rPr>
          <w:rFonts w:ascii="Calibri" w:hAnsi="Calibri" w:cs="Calibri"/>
        </w:rPr>
        <w:t>взр</w:t>
      </w:r>
      <w:r w:rsidRPr="00E478C6">
        <w:t xml:space="preserve">.).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 xml:space="preserve">59, 2022. </w:t>
      </w:r>
      <w:r w:rsidRPr="00E478C6">
        <w:rPr>
          <w:rFonts w:ascii="Calibri" w:hAnsi="Calibri" w:cs="Calibri"/>
        </w:rPr>
        <w:t>Уров</w:t>
      </w:r>
      <w:r w:rsidRPr="00E478C6">
        <w:t xml:space="preserve">.: 1A. 2. </w:t>
      </w:r>
      <w:r w:rsidRPr="00E478C6">
        <w:rPr>
          <w:rFonts w:ascii="Calibri" w:hAnsi="Calibri" w:cs="Calibri"/>
        </w:rPr>
        <w:t>Д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леч</w:t>
      </w:r>
      <w:r w:rsidRPr="00E478C6">
        <w:t xml:space="preserve">. </w:t>
      </w:r>
      <w:r w:rsidRPr="00E478C6">
        <w:rPr>
          <w:rFonts w:ascii="Calibri" w:hAnsi="Calibri" w:cs="Calibri"/>
        </w:rPr>
        <w:t>дерматитов</w:t>
      </w:r>
      <w:r w:rsidRPr="00E478C6">
        <w:t xml:space="preserve">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экзем</w:t>
      </w:r>
      <w:r w:rsidRPr="00E478C6">
        <w:t xml:space="preserve"> (</w:t>
      </w:r>
      <w:r w:rsidRPr="00E478C6">
        <w:rPr>
          <w:rFonts w:ascii="Calibri" w:hAnsi="Calibri" w:cs="Calibri"/>
        </w:rPr>
        <w:t>дети</w:t>
      </w:r>
      <w:r w:rsidRPr="00E478C6">
        <w:t xml:space="preserve">).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 xml:space="preserve">107, 2024. </w:t>
      </w:r>
      <w:r w:rsidRPr="00E478C6">
        <w:rPr>
          <w:rFonts w:ascii="Calibri" w:hAnsi="Calibri" w:cs="Calibri"/>
        </w:rPr>
        <w:t>Уров</w:t>
      </w:r>
      <w:r w:rsidRPr="00E478C6">
        <w:t xml:space="preserve">.: 1A. 3. </w:t>
      </w:r>
      <w:r w:rsidRPr="00E478C6">
        <w:rPr>
          <w:rFonts w:ascii="Calibri" w:hAnsi="Calibri" w:cs="Calibri"/>
        </w:rPr>
        <w:t>Атопич</w:t>
      </w:r>
      <w:r w:rsidRPr="00E478C6">
        <w:t xml:space="preserve">. </w:t>
      </w:r>
      <w:r w:rsidRPr="00E478C6">
        <w:rPr>
          <w:rFonts w:ascii="Calibri" w:hAnsi="Calibri" w:cs="Calibri"/>
        </w:rPr>
        <w:t>дерматит</w:t>
      </w:r>
      <w:r w:rsidRPr="00E478C6">
        <w:t xml:space="preserve"> (</w:t>
      </w:r>
      <w:r w:rsidRPr="00E478C6">
        <w:rPr>
          <w:rFonts w:ascii="Calibri" w:hAnsi="Calibri" w:cs="Calibri"/>
        </w:rPr>
        <w:t>баз</w:t>
      </w:r>
      <w:r w:rsidRPr="00E478C6">
        <w:t xml:space="preserve">. </w:t>
      </w:r>
      <w:r w:rsidRPr="00E478C6">
        <w:rPr>
          <w:rFonts w:ascii="Calibri" w:hAnsi="Calibri" w:cs="Calibri"/>
        </w:rPr>
        <w:t>протокол</w:t>
      </w:r>
      <w:r w:rsidRPr="00E478C6">
        <w:t xml:space="preserve">).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 xml:space="preserve">142, 2008. </w:t>
      </w:r>
      <w:r w:rsidRPr="00E478C6">
        <w:rPr>
          <w:rFonts w:ascii="Calibri" w:hAnsi="Calibri" w:cs="Calibri"/>
        </w:rPr>
        <w:t>Уров</w:t>
      </w:r>
      <w:r w:rsidRPr="00E478C6">
        <w:t>.: 1A. 4. AAP Diaper Dermatitis Guidelines. Pediatrics (AAP). Уров.: 1A. 5. Effect of topical treatment with urea in ichthyosis and atopic dermatitis. PMC7531456 (NIH). Уров.: 1B. 6. Д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леч</w:t>
      </w:r>
      <w:r w:rsidRPr="00E478C6">
        <w:t xml:space="preserve">. </w:t>
      </w:r>
      <w:r w:rsidRPr="00E478C6">
        <w:rPr>
          <w:rFonts w:ascii="Calibri" w:hAnsi="Calibri" w:cs="Calibri"/>
        </w:rPr>
        <w:t>доброкач</w:t>
      </w:r>
      <w:r w:rsidRPr="00E478C6">
        <w:t xml:space="preserve">. </w:t>
      </w:r>
      <w:r w:rsidRPr="00E478C6">
        <w:rPr>
          <w:rFonts w:ascii="Calibri" w:hAnsi="Calibri" w:cs="Calibri"/>
        </w:rPr>
        <w:t>забол</w:t>
      </w:r>
      <w:r w:rsidRPr="00E478C6">
        <w:t xml:space="preserve">. </w:t>
      </w:r>
      <w:r w:rsidRPr="00E478C6">
        <w:rPr>
          <w:rFonts w:ascii="Calibri" w:hAnsi="Calibri" w:cs="Calibri"/>
        </w:rPr>
        <w:t>прямой</w:t>
      </w:r>
      <w:r w:rsidRPr="00E478C6">
        <w:t xml:space="preserve"> </w:t>
      </w:r>
      <w:r w:rsidRPr="00E478C6">
        <w:rPr>
          <w:rFonts w:ascii="Calibri" w:hAnsi="Calibri" w:cs="Calibri"/>
        </w:rPr>
        <w:t>кишки</w:t>
      </w:r>
      <w:r w:rsidRPr="00E478C6">
        <w:t xml:space="preserve"> (</w:t>
      </w:r>
      <w:r w:rsidRPr="00E478C6">
        <w:rPr>
          <w:rFonts w:ascii="Calibri" w:hAnsi="Calibri" w:cs="Calibri"/>
        </w:rPr>
        <w:t>амбул</w:t>
      </w:r>
      <w:r w:rsidRPr="00E478C6">
        <w:t xml:space="preserve">.).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>22, 2022. Уров.: 1A. 7. Д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, </w:t>
      </w:r>
      <w:r w:rsidRPr="00E478C6">
        <w:rPr>
          <w:rFonts w:ascii="Calibri" w:hAnsi="Calibri" w:cs="Calibri"/>
        </w:rPr>
        <w:t>леч</w:t>
      </w:r>
      <w:r w:rsidRPr="00E478C6">
        <w:t xml:space="preserve">.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проф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 </w:t>
      </w:r>
      <w:r w:rsidRPr="00E478C6">
        <w:rPr>
          <w:rFonts w:ascii="Calibri" w:hAnsi="Calibri" w:cs="Calibri"/>
        </w:rPr>
        <w:t>пролежней</w:t>
      </w:r>
      <w:r w:rsidRPr="00E478C6">
        <w:t xml:space="preserve"> (</w:t>
      </w:r>
      <w:r w:rsidRPr="00E478C6">
        <w:rPr>
          <w:rFonts w:ascii="Calibri" w:hAnsi="Calibri" w:cs="Calibri"/>
        </w:rPr>
        <w:t>взр</w:t>
      </w:r>
      <w:r w:rsidRPr="00E478C6">
        <w:t xml:space="preserve">.).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 xml:space="preserve">146, 2024. </w:t>
      </w:r>
      <w:r w:rsidRPr="00E478C6">
        <w:rPr>
          <w:rFonts w:ascii="Calibri" w:hAnsi="Calibri" w:cs="Calibri"/>
        </w:rPr>
        <w:t>Уров</w:t>
      </w:r>
      <w:r w:rsidRPr="00E478C6">
        <w:t xml:space="preserve">.: 1A. 8. </w:t>
      </w:r>
      <w:r w:rsidRPr="00E478C6">
        <w:rPr>
          <w:rFonts w:ascii="Calibri" w:hAnsi="Calibri" w:cs="Calibri"/>
        </w:rPr>
        <w:t>Д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, </w:t>
      </w:r>
      <w:r w:rsidRPr="00E478C6">
        <w:rPr>
          <w:rFonts w:ascii="Calibri" w:hAnsi="Calibri" w:cs="Calibri"/>
        </w:rPr>
        <w:t>леч</w:t>
      </w:r>
      <w:r w:rsidRPr="00E478C6">
        <w:t xml:space="preserve">.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реабилит</w:t>
      </w:r>
      <w:r w:rsidRPr="00E478C6">
        <w:t xml:space="preserve">. </w:t>
      </w:r>
      <w:r w:rsidRPr="00E478C6">
        <w:rPr>
          <w:rFonts w:ascii="Calibri" w:hAnsi="Calibri" w:cs="Calibri"/>
        </w:rPr>
        <w:t>при</w:t>
      </w:r>
      <w:r w:rsidRPr="00E478C6">
        <w:t xml:space="preserve"> </w:t>
      </w:r>
      <w:r w:rsidRPr="00E478C6">
        <w:rPr>
          <w:rFonts w:ascii="Calibri" w:hAnsi="Calibri" w:cs="Calibri"/>
        </w:rPr>
        <w:t>термич</w:t>
      </w:r>
      <w:r w:rsidRPr="00E478C6">
        <w:t xml:space="preserve">. </w:t>
      </w:r>
      <w:r w:rsidRPr="00E478C6">
        <w:rPr>
          <w:rFonts w:ascii="Calibri" w:hAnsi="Calibri" w:cs="Calibri"/>
        </w:rPr>
        <w:t>травме</w:t>
      </w:r>
      <w:r w:rsidRPr="00E478C6">
        <w:t xml:space="preserve">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 xml:space="preserve">40, 2025. </w:t>
      </w:r>
      <w:r w:rsidRPr="00E478C6">
        <w:rPr>
          <w:rFonts w:ascii="Calibri" w:hAnsi="Calibri" w:cs="Calibri"/>
        </w:rPr>
        <w:t>Уров</w:t>
      </w:r>
      <w:r w:rsidRPr="00E478C6">
        <w:t xml:space="preserve">.: 1A. 9. AAP Urticaria and Angioedema Guidelines. Pediatrics (AAP). </w:t>
      </w:r>
      <w:r w:rsidRPr="00E478C6">
        <w:rPr>
          <w:rFonts w:ascii="Calibri" w:hAnsi="Calibri" w:cs="Calibri"/>
        </w:rPr>
        <w:t>Уров</w:t>
      </w:r>
      <w:r w:rsidRPr="00E478C6">
        <w:t>.: 1A. 10. Treatment of Pruritus Ani. PMC4755774 (NIH). Уров.: 1B. 11. NPUAP Guidelines (National Pressure Ulcer Advisory Panel). Уров.: 1A. 12. Zinc Therapy in Dermatology: A Review. PMC4120804, 2014. Уров.: 1B. 13. Д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леч</w:t>
      </w:r>
      <w:r w:rsidRPr="00E478C6">
        <w:t xml:space="preserve">. </w:t>
      </w:r>
      <w:r w:rsidRPr="00E478C6">
        <w:rPr>
          <w:rFonts w:ascii="Calibri" w:hAnsi="Calibri" w:cs="Calibri"/>
        </w:rPr>
        <w:t>хроническ</w:t>
      </w:r>
      <w:r w:rsidRPr="00E478C6">
        <w:t xml:space="preserve">. </w:t>
      </w:r>
      <w:r w:rsidRPr="00E478C6">
        <w:rPr>
          <w:rFonts w:ascii="Calibri" w:hAnsi="Calibri" w:cs="Calibri"/>
        </w:rPr>
        <w:t>забол</w:t>
      </w:r>
      <w:r w:rsidRPr="00E478C6">
        <w:t xml:space="preserve">. </w:t>
      </w:r>
      <w:r w:rsidRPr="00E478C6">
        <w:rPr>
          <w:rFonts w:ascii="Calibri" w:hAnsi="Calibri" w:cs="Calibri"/>
        </w:rPr>
        <w:t>вен</w:t>
      </w:r>
      <w:r w:rsidRPr="00E478C6">
        <w:t xml:space="preserve"> (</w:t>
      </w:r>
      <w:r w:rsidRPr="00E478C6">
        <w:rPr>
          <w:rFonts w:ascii="Calibri" w:hAnsi="Calibri" w:cs="Calibri"/>
        </w:rPr>
        <w:t>взр</w:t>
      </w:r>
      <w:r w:rsidRPr="00E478C6">
        <w:t xml:space="preserve">.).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</w:t>
      </w:r>
      <w:r w:rsidRPr="00E478C6">
        <w:t>З РБ №55, 2022. Уров.: 1A. 14. Piquero</w:t>
      </w:r>
      <w:r w:rsidRPr="00E478C6">
        <w:rPr>
          <w:rFonts w:ascii="Cambria Math" w:hAnsi="Cambria Math" w:cs="Cambria Math"/>
        </w:rPr>
        <w:t>‑</w:t>
      </w:r>
      <w:r w:rsidRPr="00E478C6">
        <w:t xml:space="preserve">Casals J. et al. Urea in Dermatology: Review of Emollient and Keratolytic Properties. PMC8611129, 2021. </w:t>
      </w:r>
      <w:r w:rsidRPr="00E478C6">
        <w:rPr>
          <w:rFonts w:ascii="Calibri" w:hAnsi="Calibri" w:cs="Calibri"/>
        </w:rPr>
        <w:t>Уров</w:t>
      </w:r>
      <w:r w:rsidRPr="00E478C6">
        <w:t xml:space="preserve">.: 1A. 15. </w:t>
      </w:r>
      <w:r w:rsidRPr="00E478C6">
        <w:rPr>
          <w:rFonts w:ascii="Calibri" w:hAnsi="Calibri" w:cs="Calibri"/>
        </w:rPr>
        <w:t>Д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леч</w:t>
      </w:r>
      <w:r w:rsidRPr="00E478C6">
        <w:t xml:space="preserve">. </w:t>
      </w:r>
      <w:r w:rsidRPr="00E478C6">
        <w:rPr>
          <w:rFonts w:ascii="Calibri" w:hAnsi="Calibri" w:cs="Calibri"/>
        </w:rPr>
        <w:t>пациентов</w:t>
      </w:r>
      <w:r w:rsidRPr="00E478C6">
        <w:t xml:space="preserve"> (</w:t>
      </w:r>
      <w:r w:rsidRPr="00E478C6">
        <w:rPr>
          <w:rFonts w:ascii="Calibri" w:hAnsi="Calibri" w:cs="Calibri"/>
        </w:rPr>
        <w:t>взр</w:t>
      </w:r>
      <w:r w:rsidRPr="00E478C6">
        <w:t xml:space="preserve">.) </w:t>
      </w:r>
      <w:r w:rsidRPr="00E478C6">
        <w:rPr>
          <w:rFonts w:ascii="Calibri" w:hAnsi="Calibri" w:cs="Calibri"/>
        </w:rPr>
        <w:t>с</w:t>
      </w:r>
      <w:r w:rsidRPr="00E478C6">
        <w:t xml:space="preserve"> </w:t>
      </w:r>
      <w:r w:rsidRPr="00E478C6">
        <w:rPr>
          <w:rFonts w:ascii="Calibri" w:hAnsi="Calibri" w:cs="Calibri"/>
        </w:rPr>
        <w:t>травмами</w:t>
      </w:r>
      <w:r w:rsidRPr="00E478C6">
        <w:t xml:space="preserve"> </w:t>
      </w:r>
      <w:r w:rsidRPr="00E478C6">
        <w:rPr>
          <w:rFonts w:ascii="Calibri" w:hAnsi="Calibri" w:cs="Calibri"/>
        </w:rPr>
        <w:t>ОДА</w:t>
      </w:r>
      <w:r w:rsidRPr="00E478C6">
        <w:t xml:space="preserve">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 xml:space="preserve">109, 2024. </w:t>
      </w:r>
      <w:r w:rsidRPr="00E478C6">
        <w:rPr>
          <w:rFonts w:ascii="Calibri" w:hAnsi="Calibri" w:cs="Calibri"/>
        </w:rPr>
        <w:t>Уров</w:t>
      </w:r>
      <w:r w:rsidRPr="00E478C6">
        <w:t xml:space="preserve">.: 1A. 16. </w:t>
      </w:r>
      <w:r w:rsidRPr="00E478C6">
        <w:rPr>
          <w:rFonts w:ascii="Calibri" w:hAnsi="Calibri" w:cs="Calibri"/>
        </w:rPr>
        <w:t>Д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леч</w:t>
      </w:r>
      <w:r w:rsidRPr="00E478C6">
        <w:t>. пациентов (дети) с моторно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эвакуаторн</w:t>
      </w:r>
      <w:r w:rsidRPr="00E478C6">
        <w:t xml:space="preserve">. </w:t>
      </w:r>
      <w:r w:rsidRPr="00E478C6">
        <w:rPr>
          <w:rFonts w:ascii="Calibri" w:hAnsi="Calibri" w:cs="Calibri"/>
        </w:rPr>
        <w:t>наруш</w:t>
      </w:r>
      <w:r w:rsidRPr="00E478C6">
        <w:t xml:space="preserve">. </w:t>
      </w:r>
      <w:r w:rsidRPr="00E478C6">
        <w:rPr>
          <w:rFonts w:ascii="Calibri" w:hAnsi="Calibri" w:cs="Calibri"/>
        </w:rPr>
        <w:t>акта</w:t>
      </w:r>
      <w:r w:rsidRPr="00E478C6">
        <w:t xml:space="preserve"> </w:t>
      </w:r>
      <w:r w:rsidRPr="00E478C6">
        <w:rPr>
          <w:rFonts w:ascii="Calibri" w:hAnsi="Calibri" w:cs="Calibri"/>
        </w:rPr>
        <w:t>дефекации</w:t>
      </w:r>
      <w:r w:rsidRPr="00E478C6">
        <w:t xml:space="preserve">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 xml:space="preserve">33, 2024. </w:t>
      </w:r>
      <w:r w:rsidRPr="00E478C6">
        <w:rPr>
          <w:rFonts w:ascii="Calibri" w:hAnsi="Calibri" w:cs="Calibri"/>
        </w:rPr>
        <w:t>Уров</w:t>
      </w:r>
      <w:r w:rsidRPr="00E478C6">
        <w:t xml:space="preserve">.: 1A. 17. </w:t>
      </w:r>
      <w:r w:rsidRPr="00E478C6">
        <w:rPr>
          <w:rFonts w:ascii="Calibri" w:hAnsi="Calibri" w:cs="Calibri"/>
        </w:rPr>
        <w:t>Фармакотер</w:t>
      </w:r>
      <w:r w:rsidRPr="00E478C6">
        <w:t xml:space="preserve">. </w:t>
      </w:r>
      <w:r w:rsidRPr="00E478C6">
        <w:rPr>
          <w:rFonts w:ascii="Calibri" w:hAnsi="Calibri" w:cs="Calibri"/>
        </w:rPr>
        <w:t>осн</w:t>
      </w:r>
      <w:r w:rsidRPr="00E478C6">
        <w:t xml:space="preserve">. </w:t>
      </w:r>
      <w:r w:rsidRPr="00E478C6">
        <w:rPr>
          <w:rFonts w:ascii="Calibri" w:hAnsi="Calibri" w:cs="Calibri"/>
        </w:rPr>
        <w:t>патол</w:t>
      </w:r>
      <w:r w:rsidRPr="00E478C6">
        <w:t xml:space="preserve">. </w:t>
      </w:r>
      <w:r w:rsidRPr="00E478C6">
        <w:rPr>
          <w:rFonts w:ascii="Calibri" w:hAnsi="Calibri" w:cs="Calibri"/>
        </w:rPr>
        <w:t>симптомов</w:t>
      </w:r>
      <w:r w:rsidRPr="00E478C6">
        <w:t xml:space="preserve"> </w:t>
      </w:r>
      <w:r w:rsidRPr="00E478C6">
        <w:rPr>
          <w:rFonts w:ascii="Calibri" w:hAnsi="Calibri" w:cs="Calibri"/>
        </w:rPr>
        <w:t>при</w:t>
      </w:r>
      <w:r w:rsidRPr="00E478C6">
        <w:t xml:space="preserve"> </w:t>
      </w:r>
      <w:r w:rsidRPr="00E478C6">
        <w:rPr>
          <w:rFonts w:ascii="Calibri" w:hAnsi="Calibri" w:cs="Calibri"/>
        </w:rPr>
        <w:t>паллиативн</w:t>
      </w:r>
      <w:r w:rsidRPr="00E478C6">
        <w:t xml:space="preserve">. </w:t>
      </w:r>
      <w:r w:rsidRPr="00E478C6">
        <w:rPr>
          <w:rFonts w:ascii="Calibri" w:hAnsi="Calibri" w:cs="Calibri"/>
        </w:rPr>
        <w:t>мед</w:t>
      </w:r>
      <w:r w:rsidRPr="00E478C6">
        <w:t xml:space="preserve">. </w:t>
      </w:r>
      <w:r w:rsidRPr="00E478C6">
        <w:rPr>
          <w:rFonts w:ascii="Calibri" w:hAnsi="Calibri" w:cs="Calibri"/>
        </w:rPr>
        <w:t>помощи</w:t>
      </w:r>
      <w:r w:rsidRPr="00E478C6">
        <w:t xml:space="preserve"> (</w:t>
      </w:r>
      <w:r w:rsidRPr="00E478C6">
        <w:rPr>
          <w:rFonts w:ascii="Calibri" w:hAnsi="Calibri" w:cs="Calibri"/>
        </w:rPr>
        <w:t>взр</w:t>
      </w:r>
      <w:r w:rsidRPr="00E478C6">
        <w:t xml:space="preserve">.).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 xml:space="preserve">96, 2022. </w:t>
      </w:r>
      <w:r w:rsidRPr="00E478C6">
        <w:rPr>
          <w:rFonts w:ascii="Calibri" w:hAnsi="Calibri" w:cs="Calibri"/>
        </w:rPr>
        <w:t>Уров</w:t>
      </w:r>
      <w:r w:rsidRPr="00E478C6">
        <w:t xml:space="preserve">.: 1A. 18. </w:t>
      </w:r>
      <w:r w:rsidRPr="00E478C6">
        <w:rPr>
          <w:rFonts w:ascii="Calibri" w:hAnsi="Calibri" w:cs="Calibri"/>
        </w:rPr>
        <w:t>Паллиативн</w:t>
      </w:r>
      <w:r w:rsidRPr="00E478C6">
        <w:t xml:space="preserve">. </w:t>
      </w:r>
      <w:r w:rsidRPr="00E478C6">
        <w:rPr>
          <w:rFonts w:ascii="Calibri" w:hAnsi="Calibri" w:cs="Calibri"/>
        </w:rPr>
        <w:t>мед</w:t>
      </w:r>
      <w:r w:rsidRPr="00E478C6">
        <w:t xml:space="preserve">. </w:t>
      </w:r>
      <w:r w:rsidRPr="00E478C6">
        <w:rPr>
          <w:rFonts w:ascii="Calibri" w:hAnsi="Calibri" w:cs="Calibri"/>
        </w:rPr>
        <w:t>помощь</w:t>
      </w:r>
      <w:r w:rsidRPr="00E478C6">
        <w:t xml:space="preserve"> (</w:t>
      </w:r>
      <w:r w:rsidRPr="00E478C6">
        <w:rPr>
          <w:rFonts w:ascii="Calibri" w:hAnsi="Calibri" w:cs="Calibri"/>
        </w:rPr>
        <w:t>дети</w:t>
      </w:r>
      <w:r w:rsidRPr="00E478C6">
        <w:t xml:space="preserve">). </w:t>
      </w:r>
      <w:r w:rsidRPr="00E478C6">
        <w:rPr>
          <w:rFonts w:ascii="Calibri" w:hAnsi="Calibri" w:cs="Calibri"/>
        </w:rPr>
        <w:t>Протокол</w:t>
      </w:r>
      <w:r w:rsidRPr="00E478C6">
        <w:t xml:space="preserve"> МЗ РБ №48, 2023. Уров.: 1A. 19. Д</w:t>
      </w:r>
      <w:r w:rsidRPr="00E478C6">
        <w:rPr>
          <w:rFonts w:ascii="Cambria Math" w:hAnsi="Cambria Math" w:cs="Cambria Math"/>
        </w:rPr>
        <w:t>‑</w:t>
      </w:r>
      <w:r w:rsidRPr="00E478C6">
        <w:rPr>
          <w:rFonts w:ascii="Calibri" w:hAnsi="Calibri" w:cs="Calibri"/>
        </w:rPr>
        <w:t>ка</w:t>
      </w:r>
      <w:r w:rsidRPr="00E478C6">
        <w:t xml:space="preserve">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леч</w:t>
      </w:r>
      <w:r w:rsidRPr="00E478C6">
        <w:t xml:space="preserve">. </w:t>
      </w:r>
      <w:r w:rsidRPr="00E478C6">
        <w:rPr>
          <w:rFonts w:ascii="Calibri" w:hAnsi="Calibri" w:cs="Calibri"/>
        </w:rPr>
        <w:t>пациентов</w:t>
      </w:r>
      <w:r w:rsidRPr="00E478C6">
        <w:t xml:space="preserve"> (</w:t>
      </w:r>
      <w:r w:rsidRPr="00E478C6">
        <w:rPr>
          <w:rFonts w:ascii="Calibri" w:hAnsi="Calibri" w:cs="Calibri"/>
        </w:rPr>
        <w:t>дети</w:t>
      </w:r>
      <w:r w:rsidRPr="00E478C6">
        <w:t xml:space="preserve">) </w:t>
      </w:r>
      <w:r w:rsidRPr="00E478C6">
        <w:rPr>
          <w:rFonts w:ascii="Calibri" w:hAnsi="Calibri" w:cs="Calibri"/>
        </w:rPr>
        <w:t>с</w:t>
      </w:r>
      <w:r w:rsidRPr="00E478C6">
        <w:t xml:space="preserve"> </w:t>
      </w:r>
      <w:r w:rsidRPr="00E478C6">
        <w:rPr>
          <w:rFonts w:ascii="Calibri" w:hAnsi="Calibri" w:cs="Calibri"/>
        </w:rPr>
        <w:t>крапивницей</w:t>
      </w:r>
      <w:r w:rsidRPr="00E478C6">
        <w:t xml:space="preserve"> </w:t>
      </w:r>
      <w:r w:rsidRPr="00E478C6">
        <w:rPr>
          <w:rFonts w:ascii="Calibri" w:hAnsi="Calibri" w:cs="Calibri"/>
        </w:rPr>
        <w:t>и</w:t>
      </w:r>
      <w:r w:rsidRPr="00E478C6">
        <w:t xml:space="preserve"> </w:t>
      </w:r>
      <w:r w:rsidRPr="00E478C6">
        <w:rPr>
          <w:rFonts w:ascii="Calibri" w:hAnsi="Calibri" w:cs="Calibri"/>
        </w:rPr>
        <w:t>ангионевротич</w:t>
      </w:r>
      <w:r w:rsidRPr="00E478C6">
        <w:t xml:space="preserve">. </w:t>
      </w:r>
      <w:r w:rsidRPr="00E478C6">
        <w:rPr>
          <w:rFonts w:ascii="Calibri" w:hAnsi="Calibri" w:cs="Calibri"/>
        </w:rPr>
        <w:t>отёком</w:t>
      </w:r>
      <w:r w:rsidRPr="00E478C6">
        <w:t xml:space="preserve">. </w:t>
      </w:r>
      <w:r w:rsidRPr="00E478C6">
        <w:rPr>
          <w:rFonts w:ascii="Calibri" w:hAnsi="Calibri" w:cs="Calibri"/>
        </w:rPr>
        <w:t>Протокол</w:t>
      </w:r>
      <w:r w:rsidRPr="00E478C6">
        <w:t xml:space="preserve"> </w:t>
      </w:r>
      <w:r w:rsidRPr="00E478C6">
        <w:rPr>
          <w:rFonts w:ascii="Calibri" w:hAnsi="Calibri" w:cs="Calibri"/>
        </w:rPr>
        <w:t>МЗ</w:t>
      </w:r>
      <w:r w:rsidRPr="00E478C6">
        <w:t xml:space="preserve"> </w:t>
      </w:r>
      <w:r w:rsidRPr="00E478C6">
        <w:rPr>
          <w:rFonts w:ascii="Calibri" w:hAnsi="Calibri" w:cs="Calibri"/>
        </w:rPr>
        <w:t>РБ</w:t>
      </w:r>
      <w:r w:rsidRPr="00E478C6">
        <w:t xml:space="preserve"> </w:t>
      </w:r>
      <w:r w:rsidRPr="00E478C6">
        <w:rPr>
          <w:rFonts w:ascii="Calibri" w:hAnsi="Calibri" w:cs="Calibri"/>
        </w:rPr>
        <w:t>№</w:t>
      </w:r>
      <w:r w:rsidRPr="00E478C6">
        <w:t xml:space="preserve">38, 2025. </w:t>
      </w:r>
      <w:r w:rsidRPr="00E478C6">
        <w:rPr>
          <w:rFonts w:ascii="Calibri" w:hAnsi="Calibri" w:cs="Calibri"/>
        </w:rPr>
        <w:t>Уров</w:t>
      </w:r>
      <w:r w:rsidRPr="00E478C6">
        <w:t xml:space="preserve">.: 1A. 20. WHO. Chickenpox: Q&amp;A, 2024. </w:t>
      </w:r>
      <w:r w:rsidRPr="00E478C6">
        <w:rPr>
          <w:rFonts w:ascii="Calibri" w:hAnsi="Calibri" w:cs="Calibri"/>
        </w:rPr>
        <w:t>Уров</w:t>
      </w:r>
      <w:r w:rsidRPr="00E478C6">
        <w:t xml:space="preserve">.: 3. 21. CDC. How to Treat Chickenpox, 2025. </w:t>
      </w:r>
      <w:r w:rsidRPr="00E478C6">
        <w:rPr>
          <w:rFonts w:ascii="Calibri" w:hAnsi="Calibri" w:cs="Calibri"/>
        </w:rPr>
        <w:t>Уров</w:t>
      </w:r>
      <w:r w:rsidRPr="00E478C6">
        <w:t>.: 3. 22. AAP Varicella</w:t>
      </w:r>
      <w:r w:rsidRPr="00E478C6">
        <w:rPr>
          <w:rFonts w:ascii="Cambria Math" w:hAnsi="Cambria Math" w:cs="Cambria Math"/>
        </w:rPr>
        <w:t>‑</w:t>
      </w:r>
      <w:r w:rsidRPr="00E478C6">
        <w:t>Zoster Virus Guidelines. Pediatrics (AAP). Уров.: 3. 23. WHO Essential Medicines List (EML). Уров.: 1A. 24. Topical Zinc Oxide Nanoparticle Formulations for Acne Vulgaris. PMC12467087, 2025. Уров.: 1B. 25. Biomimetic Hyaluronic Acid</w:t>
      </w:r>
      <w:r w:rsidRPr="00E478C6">
        <w:rPr>
          <w:rFonts w:ascii="Cambria Math" w:hAnsi="Cambria Math" w:cs="Cambria Math"/>
        </w:rPr>
        <w:t>‑</w:t>
      </w:r>
      <w:r w:rsidRPr="00E478C6">
        <w:t>Stabilized Zinc Oxide Nanoparticles in Acne Treatment. PubMed, 2025. Уров.: 1B. 26. Serum Zinc Levels and Efficacy of Zinc Treatment in Acne Vulgaris: Systematic Review and Meta</w:t>
      </w:r>
      <w:r w:rsidRPr="00E478C6">
        <w:rPr>
          <w:rFonts w:ascii="Cambria Math" w:hAnsi="Cambria Math" w:cs="Cambria Math"/>
        </w:rPr>
        <w:t>‑</w:t>
      </w:r>
      <w:r w:rsidRPr="00E478C6">
        <w:t xml:space="preserve">analysis. Wiley, 2020. </w:t>
      </w:r>
      <w:r w:rsidRPr="00E478C6">
        <w:rPr>
          <w:rFonts w:ascii="Calibri" w:hAnsi="Calibri" w:cs="Calibri"/>
        </w:rPr>
        <w:t>Уров</w:t>
      </w:r>
      <w:r w:rsidRPr="00E478C6">
        <w:t>.: 1B. 27. Piquero</w:t>
      </w:r>
      <w:r w:rsidRPr="00E478C6">
        <w:rPr>
          <w:rFonts w:ascii="Cambria Math" w:hAnsi="Cambria Math" w:cs="Cambria Math"/>
        </w:rPr>
        <w:t>‑</w:t>
      </w:r>
      <w:r w:rsidRPr="00E478C6">
        <w:t>Casals J. et al. Urea in Dermatology: Review of Emollient and Keratolytic Properties. PMC8611129, 2021. Уров.: 1A. 28. Meng Y.C. et al. Effectiveness of Calamine Lotion as Adjunctive Therapy in Infant Eczema. PMC9439764, 2022. Уров.: 1B. 29. Dall’Oglio F. et al. Clinical Evidences of Urea at Medium Concentration. Int J Clin Pract, 2020. Уров.: 1B. 30. Soesman T.F.R. et al. Topical Moisturizer for Diabetic Foot: Systematic Review and Meta</w:t>
      </w:r>
      <w:r w:rsidRPr="00E478C6">
        <w:rPr>
          <w:rFonts w:ascii="Cambria Math" w:hAnsi="Cambria Math" w:cs="Cambria Math"/>
        </w:rPr>
        <w:t>‑</w:t>
      </w:r>
      <w:r w:rsidRPr="00E478C6">
        <w:t xml:space="preserve">analysis. J Pharm D, 2022. </w:t>
      </w:r>
      <w:r w:rsidRPr="00E478C6">
        <w:rPr>
          <w:rFonts w:ascii="Calibri" w:hAnsi="Calibri" w:cs="Calibri"/>
        </w:rPr>
        <w:t>Уров</w:t>
      </w:r>
      <w:r w:rsidRPr="00E478C6">
        <w:t>.: 1A. 31. Oe M., Yamada A. et al. Optimal Foot Skin Care for Diabetes</w:t>
      </w:r>
      <w:r w:rsidRPr="00E478C6">
        <w:rPr>
          <w:rFonts w:ascii="Cambria Math" w:hAnsi="Cambria Math" w:cs="Cambria Math"/>
        </w:rPr>
        <w:t>‑</w:t>
      </w:r>
      <w:r w:rsidRPr="00E478C6">
        <w:t>Related Foot Ulcer Prevention: Scoping Review. Diabetol Int, 2025. Уров.: 1A. 32. Bowen J. et al. Optimal Emollient Treatment and Prevention of Diabetic Foot Complications. Diabetic Foot Journal, 2022. Уров.: 1A. 33. Gray N.A. et al. Zinc and Atopic Dermatitis: Systematic Review and Meta</w:t>
      </w:r>
      <w:r w:rsidRPr="00E478C6">
        <w:rPr>
          <w:rFonts w:ascii="Cambria Math" w:hAnsi="Cambria Math" w:cs="Cambria Math"/>
        </w:rPr>
        <w:t>‑</w:t>
      </w:r>
      <w:r w:rsidRPr="00E478C6">
        <w:t>analysis. PMC3656624, 2019. Уров.: 1A. 34. Zarrin N. et al. Expert Opinion on Prescription Practice of Topical Calamine Lotion. Int J Dermatol, 2024. Уров.: 3. 35. Pan M. et al. Effect of Topical Treatment with Urea in Ichthyosis, Atopic Dermatitis and Other Skin Conditions: Systematic Review. PMC11918770, 2025. Уров.: 1A. 36. Felemovicius I. et al. SOOTHER TRIAL: Lidocaine</w:t>
      </w:r>
      <w:r w:rsidRPr="00E478C6">
        <w:rPr>
          <w:rFonts w:ascii="Cambria Math" w:hAnsi="Cambria Math" w:cs="Cambria Math"/>
        </w:rPr>
        <w:t>‑</w:t>
      </w:r>
      <w:r w:rsidRPr="00E478C6">
        <w:t>Based Ointment in Pruritus Ani (</w:t>
      </w:r>
      <w:r w:rsidRPr="00E478C6">
        <w:rPr>
          <w:rFonts w:ascii="Calibri" w:hAnsi="Calibri" w:cs="Calibri"/>
        </w:rPr>
        <w:t>не</w:t>
      </w:r>
      <w:r w:rsidRPr="00E478C6">
        <w:t xml:space="preserve"> </w:t>
      </w:r>
      <w:r w:rsidRPr="00E478C6">
        <w:rPr>
          <w:rFonts w:ascii="Calibri" w:hAnsi="Calibri" w:cs="Calibri"/>
        </w:rPr>
        <w:t>каламин</w:t>
      </w:r>
      <w:r w:rsidRPr="00E478C6">
        <w:t xml:space="preserve">). PMC9515464, 2022. </w:t>
      </w:r>
      <w:r w:rsidRPr="00E478C6">
        <w:rPr>
          <w:rFonts w:ascii="Calibri" w:hAnsi="Calibri" w:cs="Calibri"/>
        </w:rPr>
        <w:t>Уров</w:t>
      </w:r>
      <w:r w:rsidRPr="00E478C6">
        <w:t>.: 2B. 37. Hebert A.A. et al. Novel Barrier and Repair Skincare Agents in Diaper Dermatitis. PMC8484940, 2021. Уров.: 1B. 38. Tian S. et al. Advanced Biomaterials in Pressure Ulcer Prevention and Care. Front Bioeng Biotechnol, 2025. Уров.: 1A. 39. Pan M. et al. Urea: Comprehensive Review of Clinical Literature. J Drugs Dermatol, 2013. Уров.: 1B. 40. Kahveci R. et al. High</w:t>
      </w:r>
      <w:r w:rsidRPr="00E478C6">
        <w:rPr>
          <w:rFonts w:ascii="Cambria Math" w:hAnsi="Cambria Math" w:cs="Cambria Math"/>
        </w:rPr>
        <w:t>‑</w:t>
      </w:r>
      <w:r w:rsidRPr="00E478C6">
        <w:t xml:space="preserve">Dose Topical Zinc Oxide in Pressure Ulcers: RCT. Wound Repair Regen, 2025. </w:t>
      </w:r>
      <w:r w:rsidRPr="00E478C6">
        <w:rPr>
          <w:rFonts w:ascii="Calibri" w:hAnsi="Calibri" w:cs="Calibri"/>
        </w:rPr>
        <w:t>Уров</w:t>
      </w:r>
      <w:r w:rsidRPr="00E478C6">
        <w:t xml:space="preserve">.: 1B. 41. Singh R. et al. Seborrheic Dermatitis and Pityriasis Sicca: Review. Cosmo Derma, 2022. </w:t>
      </w:r>
      <w:r w:rsidRPr="00E478C6">
        <w:rPr>
          <w:rFonts w:ascii="Calibri" w:hAnsi="Calibri" w:cs="Calibri"/>
        </w:rPr>
        <w:t>Уров</w:t>
      </w:r>
      <w:r w:rsidRPr="00E478C6">
        <w:t>.: 1A. 42. Zarrin N. et al. Zinc Oxide vs Vaseline in Sacral Pressure Injury Prevention: RCT. J Wound Care, 2024. Уров.: 1B. 43. Celleno L. et al. Urea Cream for Hand Eczema, Urea Foam for Seborrheic Dermatitis and Scalp Psoriasiform Dermatoses. PMC9664912, 2022. Уров.: 1B. 44. Koc F. et al. Zinc Oxide vs Barrier Cream in Pressure Injury Prevention. Cureus, 2023. Уров.: 2B. 45. Lueangarun S. et al. Healing Ointment vs 0.1% Triamcinolone Acetonide in Chronic Hand Eczema. J Clin Aesthet Dermatol, 2025. Уров.: 1B.</w:t>
      </w:r>
    </w:p>
    <w:sectPr w:rsidR="00AA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FC"/>
    <w:rsid w:val="00AA71FC"/>
    <w:rsid w:val="00E4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F8411-3B14-420E-9B3D-98BFC1F2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Kasabutski</dc:creator>
  <cp:keywords/>
  <dc:description/>
  <cp:lastModifiedBy>Anton Kasabutski</cp:lastModifiedBy>
  <cp:revision>3</cp:revision>
  <dcterms:created xsi:type="dcterms:W3CDTF">2026-02-26T09:02:00Z</dcterms:created>
  <dcterms:modified xsi:type="dcterms:W3CDTF">2026-02-26T09:02:00Z</dcterms:modified>
</cp:coreProperties>
</file>